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50BC" w:rsidTr="00CE50BC">
        <w:trPr>
          <w:trHeight w:val="2340"/>
        </w:trPr>
        <w:tc>
          <w:tcPr>
            <w:tcW w:w="9089" w:type="dxa"/>
          </w:tcPr>
          <w:p w:rsidR="00D06BFB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358E03A" wp14:editId="139EF34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0BC" w:rsidRPr="00F26BFD">
              <w:rPr>
                <w:b/>
                <w:sz w:val="22"/>
                <w:szCs w:val="22"/>
              </w:rPr>
              <w:t>HASAN KALYONCU ÜNİVERSİTESİ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GÜZEL SANATLAR VE MİMARLIK FAKÜLTESİ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MİMARLIK BÖLÜMÜ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7E445E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 BAHAR DÖNEMİ MİM401</w:t>
            </w:r>
            <w:r w:rsidR="00CE50BC" w:rsidRPr="00F26BFD">
              <w:rPr>
                <w:b/>
                <w:sz w:val="22"/>
                <w:szCs w:val="22"/>
              </w:rPr>
              <w:t xml:space="preserve"> MİMARİ TASARIM V</w:t>
            </w:r>
            <w:r>
              <w:rPr>
                <w:b/>
                <w:sz w:val="22"/>
                <w:szCs w:val="22"/>
              </w:rPr>
              <w:t>I</w:t>
            </w:r>
          </w:p>
          <w:p w:rsidR="00CE50BC" w:rsidRPr="00F26BFD" w:rsidRDefault="00BF71D5" w:rsidP="00CE50BC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KONAKLAMALI KONGRE MERKEZİ</w:t>
            </w:r>
          </w:p>
          <w:p w:rsidR="00CE50BC" w:rsidRDefault="00CE50BC" w:rsidP="00CE50BC">
            <w:pPr>
              <w:pStyle w:val="Default"/>
              <w:spacing w:line="276" w:lineRule="auto"/>
              <w:ind w:left="2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E50BC" w:rsidRDefault="00CE50BC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230F9F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AMAÇ VE KAPSAM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7E445E" w:rsidP="00B3342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Mim401</w:t>
      </w:r>
      <w:r w:rsidR="00C8076B" w:rsidRPr="00F26BFD">
        <w:rPr>
          <w:sz w:val="20"/>
          <w:szCs w:val="20"/>
        </w:rPr>
        <w:t xml:space="preserve"> Mimari Tasarım V</w:t>
      </w:r>
      <w:r>
        <w:rPr>
          <w:sz w:val="20"/>
          <w:szCs w:val="20"/>
        </w:rPr>
        <w:t>I</w:t>
      </w:r>
      <w:r w:rsidR="00C8076B" w:rsidRPr="00F26BFD">
        <w:rPr>
          <w:sz w:val="20"/>
          <w:szCs w:val="20"/>
        </w:rPr>
        <w:t xml:space="preserve"> dersinde, mimarlık öğrencilerinin bireysel ve profesyone</w:t>
      </w:r>
      <w:r w:rsidR="004B3BB4" w:rsidRPr="00F26BFD">
        <w:rPr>
          <w:sz w:val="20"/>
          <w:szCs w:val="20"/>
        </w:rPr>
        <w:t>l</w:t>
      </w:r>
      <w:r w:rsidR="00C8076B" w:rsidRPr="00F26BFD">
        <w:rPr>
          <w:sz w:val="20"/>
          <w:szCs w:val="20"/>
        </w:rPr>
        <w:t xml:space="preserve"> tasarım tekniklerinin gelişimi beklenmektedir. Eylem ve programın mekânsal düzenlenmesi, taşıyıcı sistem tasarımı ve malzeme, tasarımda bilgisayar desteği ve sunumu mantığı ile sunum yapılması beklenmektedir. Verilen arazide </w:t>
      </w:r>
      <w:r w:rsidR="00840FDA">
        <w:rPr>
          <w:sz w:val="20"/>
          <w:szCs w:val="20"/>
        </w:rPr>
        <w:t>konaklamalı kongre merkezi</w:t>
      </w:r>
      <w:r w:rsidR="00C8076B" w:rsidRPr="00F26BFD">
        <w:rPr>
          <w:sz w:val="20"/>
          <w:szCs w:val="20"/>
        </w:rPr>
        <w:t xml:space="preserve"> araştırılarak, analiz ve sentez becerilerinin kazandırılıp, işlevsel ve estetik açıdan değerlendirilerek taşı</w:t>
      </w:r>
      <w:r w:rsidR="004B3BB4" w:rsidRPr="00F26BFD">
        <w:rPr>
          <w:sz w:val="20"/>
          <w:szCs w:val="20"/>
        </w:rPr>
        <w:t>yı</w:t>
      </w:r>
      <w:r w:rsidR="00C8076B" w:rsidRPr="00F26BFD">
        <w:rPr>
          <w:sz w:val="20"/>
          <w:szCs w:val="20"/>
        </w:rPr>
        <w:t>cı sistem ile birlikte çözülmesi beklenmektedir.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sz w:val="20"/>
          <w:szCs w:val="20"/>
        </w:rPr>
      </w:pPr>
    </w:p>
    <w:p w:rsidR="00C8076B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ÖĞRENCİLERE KAZANDIRILMASI AMAÇLANAN YETENEKLER VE BECERİLER</w:t>
      </w:r>
    </w:p>
    <w:p w:rsidR="00F00F4C" w:rsidRDefault="00F00F4C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F00F4C" w:rsidRPr="00F00F4C" w:rsidRDefault="00F00F4C" w:rsidP="00F00F4C">
      <w:pPr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00F4C">
        <w:rPr>
          <w:rFonts w:ascii="Arial" w:hAnsi="Arial" w:cs="Arial"/>
          <w:color w:val="000000"/>
          <w:sz w:val="20"/>
          <w:szCs w:val="20"/>
        </w:rPr>
        <w:t>Mimari tasarımı yapılan bir alana ait sorunları kentsel ve yapı ölçeğinde çözebilme becerisi kazandırır.</w:t>
      </w:r>
    </w:p>
    <w:p w:rsidR="00F00F4C" w:rsidRPr="00F00F4C" w:rsidRDefault="00F00F4C" w:rsidP="00F00F4C">
      <w:pPr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00F4C">
        <w:rPr>
          <w:rFonts w:ascii="Arial" w:hAnsi="Arial" w:cs="Arial"/>
          <w:color w:val="000000"/>
          <w:sz w:val="20"/>
          <w:szCs w:val="20"/>
        </w:rPr>
        <w:t>Kent ve tasarım süreci ilişkisini irdeleme becerisi kazandırır.</w:t>
      </w:r>
    </w:p>
    <w:p w:rsidR="00F00F4C" w:rsidRPr="00F00F4C" w:rsidRDefault="00F00F4C" w:rsidP="00F00F4C">
      <w:pPr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00F4C">
        <w:rPr>
          <w:rFonts w:ascii="Arial" w:hAnsi="Arial" w:cs="Arial"/>
          <w:color w:val="000000"/>
          <w:sz w:val="20"/>
          <w:szCs w:val="20"/>
        </w:rPr>
        <w:t>Tasarıma etki eden çevre bileşenlerini analiz etmek ve doğru ilişkileri kurma becerisi kazandırır.</w:t>
      </w:r>
    </w:p>
    <w:p w:rsidR="00F00F4C" w:rsidRPr="00F00F4C" w:rsidRDefault="00F00F4C" w:rsidP="00F00F4C">
      <w:pPr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00F4C">
        <w:rPr>
          <w:rFonts w:ascii="Arial" w:hAnsi="Arial" w:cs="Arial"/>
          <w:color w:val="000000"/>
          <w:sz w:val="20"/>
          <w:szCs w:val="20"/>
        </w:rPr>
        <w:t>Kentsel alanlarda sıhhileştirme, kentsel yenileme ve ileri yapım teknolojisi ile karmaşık fonksiyonlu konularda bilgi edinme ve çözüm getirme becerisi kazandırır.</w:t>
      </w:r>
    </w:p>
    <w:p w:rsidR="00C8076B" w:rsidRPr="00F00F4C" w:rsidRDefault="00F00F4C" w:rsidP="00F00F4C">
      <w:pPr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00F4C">
        <w:rPr>
          <w:rFonts w:ascii="Arial" w:hAnsi="Arial" w:cs="Arial"/>
          <w:color w:val="000000"/>
          <w:sz w:val="20"/>
          <w:szCs w:val="20"/>
        </w:rPr>
        <w:t>Geniş kapsamlı projeleri irdelenme ön hazırlık ve program yapma ile değerlendirme becerisi kazandırır.</w:t>
      </w:r>
    </w:p>
    <w:p w:rsidR="00AE1095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DEĞERLENDİRME KRİTERLERİ</w:t>
      </w: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başarı notunun değerlendirilmesi aşağıda belirlenmiştir:</w:t>
      </w:r>
    </w:p>
    <w:p w:rsidR="00C8076B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Eskiz Sınavı: </w:t>
      </w:r>
      <w:r w:rsidR="00C8076B" w:rsidRPr="00F26BFD">
        <w:rPr>
          <w:rFonts w:ascii="Arial" w:hAnsi="Arial" w:cs="Arial"/>
          <w:b/>
          <w:sz w:val="20"/>
          <w:szCs w:val="20"/>
        </w:rPr>
        <w:t>%</w:t>
      </w:r>
      <w:r w:rsidR="00CE50BC">
        <w:rPr>
          <w:rFonts w:ascii="Arial" w:hAnsi="Arial" w:cs="Arial"/>
          <w:b/>
          <w:sz w:val="20"/>
          <w:szCs w:val="20"/>
        </w:rPr>
        <w:t>20</w:t>
      </w:r>
    </w:p>
    <w:p w:rsidR="00AE1095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1.Ara Jüri: </w:t>
      </w:r>
      <w:r w:rsidR="00CE50BC">
        <w:rPr>
          <w:rFonts w:ascii="Arial" w:hAnsi="Arial" w:cs="Arial"/>
          <w:b/>
          <w:sz w:val="20"/>
          <w:szCs w:val="20"/>
        </w:rPr>
        <w:t>%30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Değerlendirmesi: </w:t>
      </w:r>
      <w:r w:rsidR="00AE1095" w:rsidRPr="00F26BFD">
        <w:rPr>
          <w:rFonts w:ascii="Arial" w:hAnsi="Arial" w:cs="Arial"/>
          <w:b/>
          <w:sz w:val="20"/>
          <w:szCs w:val="20"/>
        </w:rPr>
        <w:t>%5</w:t>
      </w:r>
      <w:r w:rsidRPr="00F26BFD">
        <w:rPr>
          <w:rFonts w:ascii="Arial" w:hAnsi="Arial" w:cs="Arial"/>
          <w:b/>
          <w:sz w:val="20"/>
          <w:szCs w:val="20"/>
        </w:rPr>
        <w:t>0</w:t>
      </w:r>
      <w:r w:rsidRPr="00F26BFD">
        <w:rPr>
          <w:rFonts w:ascii="Arial" w:hAnsi="Arial" w:cs="Arial"/>
          <w:sz w:val="20"/>
          <w:szCs w:val="20"/>
        </w:rPr>
        <w:t xml:space="preserve"> 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 xml:space="preserve">Tasarım derslerine devam koşulu %80 </w:t>
      </w:r>
      <w:proofErr w:type="spellStart"/>
      <w:r w:rsidRPr="00F26BFD">
        <w:rPr>
          <w:rFonts w:ascii="Arial" w:hAnsi="Arial" w:cs="Arial"/>
          <w:b/>
          <w:sz w:val="20"/>
          <w:szCs w:val="20"/>
        </w:rPr>
        <w:t>dir</w:t>
      </w:r>
      <w:proofErr w:type="spellEnd"/>
      <w:r w:rsidRPr="00F26BFD">
        <w:rPr>
          <w:rFonts w:ascii="Arial" w:hAnsi="Arial" w:cs="Arial"/>
          <w:b/>
          <w:sz w:val="20"/>
          <w:szCs w:val="20"/>
        </w:rPr>
        <w:t>.</w:t>
      </w: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Yıl içi değerlendirmesi başarılı olsa dahi </w:t>
      </w:r>
      <w:proofErr w:type="gramStart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yıl</w:t>
      </w:r>
      <w:r w:rsidR="0017172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sonu</w:t>
      </w:r>
      <w:proofErr w:type="gramEnd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projesini zamanında teslim etmeyen öğrenci başarısız sayılacaktır.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Grup yürütücülerinin yürütme biçimleri çeşitlilik gösterebilir. Yürütücü teslimde istenilenlere ek/değişiklik yapabilir.</w:t>
      </w:r>
    </w:p>
    <w:p w:rsidR="00AE1095" w:rsidRPr="00F26BFD" w:rsidRDefault="007E445E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MİM 401</w:t>
      </w:r>
      <w:r w:rsidR="00AE1095" w:rsidRPr="00F26BFD">
        <w:rPr>
          <w:rFonts w:ascii="Arial" w:hAnsi="Arial" w:cs="Arial"/>
          <w:sz w:val="20"/>
          <w:szCs w:val="20"/>
        </w:rPr>
        <w:t xml:space="preserve"> Mimari Tasarım V</w:t>
      </w:r>
      <w:r>
        <w:rPr>
          <w:rFonts w:ascii="Arial" w:hAnsi="Arial" w:cs="Arial"/>
          <w:sz w:val="20"/>
          <w:szCs w:val="20"/>
        </w:rPr>
        <w:t>I</w:t>
      </w:r>
      <w:r w:rsidR="00AE1095" w:rsidRPr="00F26BFD">
        <w:rPr>
          <w:rFonts w:ascii="Arial" w:hAnsi="Arial" w:cs="Arial"/>
          <w:sz w:val="20"/>
          <w:szCs w:val="20"/>
        </w:rPr>
        <w:t xml:space="preserve"> ve ileri projelerde CAD programları yardımıyla bilgisayarda çizim yapılabilir. 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haftalık çalışmaları dönem sonunda teslim alınacaktır.</w:t>
      </w:r>
    </w:p>
    <w:p w:rsidR="00AE1095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tesliminde istenilenler </w:t>
      </w:r>
      <w:r w:rsidRPr="00F26BFD">
        <w:rPr>
          <w:rFonts w:ascii="Arial" w:hAnsi="Arial" w:cs="Arial"/>
          <w:sz w:val="20"/>
          <w:szCs w:val="20"/>
          <w:u w:val="single"/>
        </w:rPr>
        <w:t>eksiksiz</w:t>
      </w:r>
      <w:r w:rsidRPr="00F26BFD">
        <w:rPr>
          <w:rFonts w:ascii="Arial" w:hAnsi="Arial" w:cs="Arial"/>
          <w:sz w:val="20"/>
          <w:szCs w:val="20"/>
        </w:rPr>
        <w:t xml:space="preserve"> olarak teslim alınacaktır.</w:t>
      </w:r>
    </w:p>
    <w:p w:rsidR="00CE50BC" w:rsidRPr="00F26BFD" w:rsidRDefault="00CE50BC" w:rsidP="00CE50B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50BC">
        <w:rPr>
          <w:rFonts w:ascii="Arial" w:hAnsi="Arial" w:cs="Arial"/>
          <w:sz w:val="20"/>
          <w:szCs w:val="20"/>
        </w:rPr>
        <w:t>Özgün olmadığı tespit edilen projeler geçersiz sayılacaktır ve değerlendirmeye alınmayacaktır.</w:t>
      </w:r>
    </w:p>
    <w:p w:rsidR="00F00F4C" w:rsidRDefault="00F00F4C" w:rsidP="00046C03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C8076B" w:rsidRPr="00F26BFD" w:rsidRDefault="00AE1095" w:rsidP="00046C0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lastRenderedPageBreak/>
        <w:t>İHTİYAÇ PROGRAMI</w:t>
      </w:r>
    </w:p>
    <w:p w:rsidR="00AE1095" w:rsidRPr="00F26BFD" w:rsidRDefault="00AE1095" w:rsidP="00B334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276"/>
        <w:gridCol w:w="992"/>
        <w:gridCol w:w="4111"/>
      </w:tblGrid>
      <w:tr w:rsidR="00CE50BC" w:rsidRPr="00F26BFD" w:rsidTr="00BE4A48">
        <w:trPr>
          <w:trHeight w:hRule="exact" w:val="397"/>
        </w:trPr>
        <w:tc>
          <w:tcPr>
            <w:tcW w:w="3080" w:type="dxa"/>
          </w:tcPr>
          <w:p w:rsidR="00CE50BC" w:rsidRPr="006A5E79" w:rsidRDefault="00CE50BC" w:rsidP="00A86B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A5E79">
              <w:rPr>
                <w:rFonts w:ascii="Times New Roman" w:hAnsi="Times New Roman" w:cs="Times New Roman"/>
                <w:b/>
              </w:rPr>
              <w:t>Mekân</w:t>
            </w:r>
          </w:p>
        </w:tc>
        <w:tc>
          <w:tcPr>
            <w:tcW w:w="1276" w:type="dxa"/>
          </w:tcPr>
          <w:p w:rsidR="00CE50BC" w:rsidRPr="006A5E79" w:rsidRDefault="00256ECE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Kişi Sayısı</w:t>
            </w:r>
          </w:p>
        </w:tc>
        <w:tc>
          <w:tcPr>
            <w:tcW w:w="992" w:type="dxa"/>
          </w:tcPr>
          <w:p w:rsidR="00CE50BC" w:rsidRPr="006A5E79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A5E79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4111" w:type="dxa"/>
          </w:tcPr>
          <w:p w:rsidR="00CE50BC" w:rsidRPr="006A5E79" w:rsidRDefault="00CE50BC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6A5E79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077D" w:rsidRPr="00F26BFD" w:rsidTr="00256ECE">
        <w:trPr>
          <w:trHeight w:hRule="exact" w:val="728"/>
        </w:trPr>
        <w:tc>
          <w:tcPr>
            <w:tcW w:w="3080" w:type="dxa"/>
            <w:vAlign w:val="center"/>
          </w:tcPr>
          <w:p w:rsidR="00C7077D" w:rsidRPr="00D46D67" w:rsidRDefault="00C7077D" w:rsidP="001E30C4">
            <w:pPr>
              <w:pStyle w:val="GvdeMetni"/>
              <w:spacing w:before="2" w:line="276" w:lineRule="auto"/>
              <w:ind w:right="355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Giriş Bölümü</w:t>
            </w:r>
          </w:p>
        </w:tc>
        <w:tc>
          <w:tcPr>
            <w:tcW w:w="1276" w:type="dxa"/>
            <w:vAlign w:val="center"/>
          </w:tcPr>
          <w:p w:rsidR="00C7077D" w:rsidRDefault="00C7077D" w:rsidP="00371D8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7077D" w:rsidRPr="00F26BFD" w:rsidRDefault="00C7077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C7077D" w:rsidRPr="00F26BFD" w:rsidRDefault="00C7077D" w:rsidP="00B334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71D5" w:rsidRPr="00F26BFD" w:rsidTr="006A5E79">
        <w:trPr>
          <w:trHeight w:hRule="exact" w:val="1329"/>
        </w:trPr>
        <w:tc>
          <w:tcPr>
            <w:tcW w:w="3080" w:type="dxa"/>
            <w:vAlign w:val="center"/>
          </w:tcPr>
          <w:p w:rsidR="00BF71D5" w:rsidRPr="00D46D67" w:rsidRDefault="00B61ADD" w:rsidP="006A5E79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Giriş Hol</w:t>
            </w:r>
            <w:r w:rsidR="008D79AD"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ü (L</w:t>
            </w:r>
            <w:r w:rsidR="006A5E79">
              <w:rPr>
                <w:rFonts w:ascii="Times New Roman" w:eastAsiaTheme="minorHAnsi" w:hAnsi="Times New Roman" w:cs="Times New Roman"/>
                <w:sz w:val="22"/>
                <w:szCs w:val="22"/>
              </w:rPr>
              <w:t>obi ve sergi alanı olmalı)</w:t>
            </w:r>
          </w:p>
        </w:tc>
        <w:tc>
          <w:tcPr>
            <w:tcW w:w="1276" w:type="dxa"/>
            <w:vAlign w:val="center"/>
          </w:tcPr>
          <w:p w:rsidR="00BF71D5" w:rsidRPr="00D46D67" w:rsidRDefault="00BF71D5" w:rsidP="00371D8D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71D5" w:rsidRPr="00D46D67" w:rsidRDefault="00282F27" w:rsidP="00282F27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9347D2" w:rsidRPr="006A5E79" w:rsidRDefault="006A5E79" w:rsidP="001E30C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Resepsiyon </w:t>
            </w:r>
            <w:r w:rsidR="00282F27" w:rsidRPr="00D46D67">
              <w:rPr>
                <w:rFonts w:ascii="Times New Roman" w:hAnsi="Times New Roman" w:cs="Times New Roman"/>
              </w:rPr>
              <w:t xml:space="preserve">emanet </w:t>
            </w:r>
            <w:proofErr w:type="gramStart"/>
            <w:r w:rsidR="00282F27" w:rsidRPr="00D46D67">
              <w:rPr>
                <w:rFonts w:ascii="Times New Roman" w:hAnsi="Times New Roman" w:cs="Times New Roman"/>
              </w:rPr>
              <w:t>imkanlı</w:t>
            </w:r>
            <w:proofErr w:type="gramEnd"/>
            <w:r>
              <w:rPr>
                <w:rFonts w:ascii="Times New Roman" w:hAnsi="Times New Roman" w:cs="Times New Roman"/>
              </w:rPr>
              <w:t xml:space="preserve"> ve yönetimle ilişkili olmalıdır. </w:t>
            </w:r>
            <w:r w:rsidR="009347D2" w:rsidRPr="00D46D67">
              <w:rPr>
                <w:rFonts w:ascii="Times New Roman" w:hAnsi="Times New Roman" w:cs="Times New Roman"/>
              </w:rPr>
              <w:t>Bavul Odası, Güvenlik ve Kamera İzleme Odası ile birlikte tasarlanacaktır.</w:t>
            </w:r>
          </w:p>
        </w:tc>
      </w:tr>
      <w:tr w:rsidR="00806B2A" w:rsidRPr="00F26BFD" w:rsidTr="00CA35EC">
        <w:trPr>
          <w:trHeight w:hRule="exact" w:val="592"/>
        </w:trPr>
        <w:tc>
          <w:tcPr>
            <w:tcW w:w="3080" w:type="dxa"/>
            <w:vAlign w:val="center"/>
          </w:tcPr>
          <w:p w:rsidR="00806B2A" w:rsidRPr="00D46D67" w:rsidRDefault="00806B2A" w:rsidP="001E30C4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Kongre Merkezi</w:t>
            </w:r>
          </w:p>
        </w:tc>
        <w:tc>
          <w:tcPr>
            <w:tcW w:w="1276" w:type="dxa"/>
            <w:vAlign w:val="center"/>
          </w:tcPr>
          <w:p w:rsidR="00806B2A" w:rsidRPr="00D46D67" w:rsidRDefault="00806B2A" w:rsidP="00371D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06B2A" w:rsidRPr="00D46D67" w:rsidRDefault="00806B2A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06B2A" w:rsidRPr="00D46D67" w:rsidRDefault="00806B2A" w:rsidP="001E30C4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EC" w:rsidRPr="00F26BFD" w:rsidTr="00CA35EC">
        <w:trPr>
          <w:trHeight w:hRule="exact" w:val="855"/>
        </w:trPr>
        <w:tc>
          <w:tcPr>
            <w:tcW w:w="3080" w:type="dxa"/>
            <w:vAlign w:val="center"/>
          </w:tcPr>
          <w:p w:rsidR="00CA35EC" w:rsidRPr="00D46D67" w:rsidRDefault="00CA35EC" w:rsidP="001E30C4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Büyük Salon</w:t>
            </w:r>
          </w:p>
        </w:tc>
        <w:tc>
          <w:tcPr>
            <w:tcW w:w="1276" w:type="dxa"/>
            <w:vAlign w:val="center"/>
          </w:tcPr>
          <w:p w:rsidR="00CA35EC" w:rsidRPr="00D46D67" w:rsidRDefault="00E83E0A" w:rsidP="00371D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>700 Kişilik</w:t>
            </w:r>
          </w:p>
        </w:tc>
        <w:tc>
          <w:tcPr>
            <w:tcW w:w="992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Sahne Fuaye Sergi Salonu Kafeterya</w:t>
            </w:r>
          </w:p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Kulis-Soyunma Hazırlık Odaları</w:t>
            </w:r>
          </w:p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Dinlenme Odası Oturma Birimleri ve Çeşitli Satış Birimleri ile birlikte tasarlanacaktır.</w:t>
            </w:r>
          </w:p>
          <w:p w:rsidR="00CA35EC" w:rsidRPr="00D46D67" w:rsidRDefault="00CA35EC" w:rsidP="001E30C4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EC" w:rsidRPr="00F26BFD" w:rsidTr="00CA35EC">
        <w:trPr>
          <w:trHeight w:hRule="exact" w:val="853"/>
        </w:trPr>
        <w:tc>
          <w:tcPr>
            <w:tcW w:w="3080" w:type="dxa"/>
            <w:vAlign w:val="center"/>
          </w:tcPr>
          <w:p w:rsidR="00CA35EC" w:rsidRPr="00D46D67" w:rsidRDefault="00CA35EC" w:rsidP="001E30C4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Küçük Salon</w:t>
            </w:r>
          </w:p>
        </w:tc>
        <w:tc>
          <w:tcPr>
            <w:tcW w:w="1276" w:type="dxa"/>
            <w:vAlign w:val="center"/>
          </w:tcPr>
          <w:p w:rsidR="00CA35EC" w:rsidRPr="00D46D67" w:rsidRDefault="00E83E0A" w:rsidP="00371D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>250 Kişilik</w:t>
            </w:r>
          </w:p>
        </w:tc>
        <w:tc>
          <w:tcPr>
            <w:tcW w:w="992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Merge/>
            <w:vAlign w:val="center"/>
          </w:tcPr>
          <w:p w:rsidR="00CA35EC" w:rsidRPr="00D46D67" w:rsidRDefault="00CA35EC" w:rsidP="001E30C4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5EC" w:rsidRPr="00F26BFD" w:rsidTr="00CA35EC">
        <w:trPr>
          <w:trHeight w:hRule="exact" w:val="985"/>
        </w:trPr>
        <w:tc>
          <w:tcPr>
            <w:tcW w:w="3080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Sergi Salonu</w:t>
            </w:r>
          </w:p>
        </w:tc>
        <w:tc>
          <w:tcPr>
            <w:tcW w:w="1276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Açık alan kullanım olanaklı, dışarıdan servis alabilir nitelikte olacaktır.</w:t>
            </w:r>
          </w:p>
        </w:tc>
      </w:tr>
      <w:tr w:rsidR="00CA35EC" w:rsidRPr="00F26BFD" w:rsidTr="00CA35EC">
        <w:trPr>
          <w:trHeight w:hRule="exact" w:val="552"/>
        </w:trPr>
        <w:tc>
          <w:tcPr>
            <w:tcW w:w="3080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sz w:val="22"/>
                <w:szCs w:val="22"/>
              </w:rPr>
              <w:t>Kafeterya</w:t>
            </w:r>
          </w:p>
        </w:tc>
        <w:tc>
          <w:tcPr>
            <w:tcW w:w="1276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Fuaye ile birlikte kurgulanabilir.</w:t>
            </w:r>
          </w:p>
        </w:tc>
      </w:tr>
      <w:tr w:rsidR="00CA35EC" w:rsidRPr="00F26BFD" w:rsidTr="00371D8D">
        <w:trPr>
          <w:trHeight w:hRule="exact" w:val="719"/>
        </w:trPr>
        <w:tc>
          <w:tcPr>
            <w:tcW w:w="3080" w:type="dxa"/>
            <w:vAlign w:val="center"/>
          </w:tcPr>
          <w:p w:rsidR="00CA35EC" w:rsidRPr="00256ECE" w:rsidRDefault="00CA35EC" w:rsidP="00256ECE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Konaklama Birimi </w:t>
            </w:r>
          </w:p>
        </w:tc>
        <w:tc>
          <w:tcPr>
            <w:tcW w:w="1276" w:type="dxa"/>
            <w:vAlign w:val="center"/>
          </w:tcPr>
          <w:p w:rsidR="00CA35EC" w:rsidRPr="00D46D67" w:rsidRDefault="00256ECE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Kişilik</w:t>
            </w:r>
          </w:p>
        </w:tc>
        <w:tc>
          <w:tcPr>
            <w:tcW w:w="992" w:type="dxa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CA35EC" w:rsidRPr="00F26BFD" w:rsidTr="00371D8D">
        <w:trPr>
          <w:trHeight w:hRule="exact" w:val="2694"/>
        </w:trPr>
        <w:tc>
          <w:tcPr>
            <w:tcW w:w="3080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 xml:space="preserve">Standart Yatak Odaları </w:t>
            </w:r>
          </w:p>
          <w:p w:rsidR="00CA35EC" w:rsidRPr="00D46D67" w:rsidRDefault="00CA35EC" w:rsidP="00CA35EC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Odalarda 2 kişilik yatak düşünülmelidir. </w:t>
            </w:r>
          </w:p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Banyo/WC, giriş holü, Boy aynası, Dolap, kasa, buzdolabı, çalışma ve makyaj masası, ayna, 2 koltuk, 2 kişilik sofa ve orta sehpa, </w:t>
            </w:r>
            <w:proofErr w:type="spellStart"/>
            <w:r w:rsidRPr="00D46D67">
              <w:rPr>
                <w:rFonts w:ascii="Times New Roman" w:hAnsi="Times New Roman" w:cs="Times New Roman"/>
              </w:rPr>
              <w:t>lambader</w:t>
            </w:r>
            <w:proofErr w:type="spellEnd"/>
            <w:r w:rsidRPr="00D46D67">
              <w:rPr>
                <w:rFonts w:ascii="Times New Roman" w:hAnsi="Times New Roman" w:cs="Times New Roman"/>
              </w:rPr>
              <w:t>, LED TV, telefon, yatak başı aplikleri ve bavulluk olmalıdır. Odaların % 5’i engellilerin kullanımına uygun olmalıdır.</w:t>
            </w:r>
          </w:p>
        </w:tc>
      </w:tr>
      <w:tr w:rsidR="00CA35EC" w:rsidRPr="00F26BFD" w:rsidTr="006A5E79">
        <w:trPr>
          <w:trHeight w:hRule="exact" w:val="3696"/>
        </w:trPr>
        <w:tc>
          <w:tcPr>
            <w:tcW w:w="3080" w:type="dxa"/>
            <w:vAlign w:val="center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Suit</w:t>
            </w:r>
            <w:proofErr w:type="spellEnd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DED" w:rsidRPr="00D46D67">
              <w:rPr>
                <w:rFonts w:ascii="Times New Roman" w:hAnsi="Times New Roman" w:cs="Times New Roman"/>
                <w:sz w:val="22"/>
                <w:szCs w:val="22"/>
              </w:rPr>
              <w:t>Yatak Odaları</w:t>
            </w:r>
          </w:p>
        </w:tc>
        <w:tc>
          <w:tcPr>
            <w:tcW w:w="1276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35EC" w:rsidRPr="00D46D67" w:rsidRDefault="00CA35EC" w:rsidP="00CA35EC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Yatak kısmında; 2 kişilik ve tek kişilik yatak düşünülmelidir. Duş, küvet, </w:t>
            </w:r>
            <w:proofErr w:type="gramStart"/>
            <w:r w:rsidRPr="00D46D67">
              <w:rPr>
                <w:rFonts w:ascii="Times New Roman" w:hAnsi="Times New Roman" w:cs="Times New Roman"/>
              </w:rPr>
              <w:t>tezgahlı</w:t>
            </w:r>
            <w:proofErr w:type="gramEnd"/>
            <w:r w:rsidRPr="00D46D67">
              <w:rPr>
                <w:rFonts w:ascii="Times New Roman" w:hAnsi="Times New Roman" w:cs="Times New Roman"/>
              </w:rPr>
              <w:t xml:space="preserve"> lavabo, klozet ve </w:t>
            </w:r>
            <w:proofErr w:type="spellStart"/>
            <w:r w:rsidRPr="00D46D67">
              <w:rPr>
                <w:rFonts w:ascii="Times New Roman" w:hAnsi="Times New Roman" w:cs="Times New Roman"/>
              </w:rPr>
              <w:t>bideli</w:t>
            </w:r>
            <w:proofErr w:type="spellEnd"/>
            <w:r w:rsidRPr="00D46D67">
              <w:rPr>
                <w:rFonts w:ascii="Times New Roman" w:hAnsi="Times New Roman" w:cs="Times New Roman"/>
              </w:rPr>
              <w:t xml:space="preserve"> Banyo ve ayrıca oturma kısmında WC, giriş holü, telefon, Dolap, buzdolabı, kasa, çalışma ve makyaj masası, ayna, 2 koltuk ve orta sehpa, </w:t>
            </w:r>
            <w:proofErr w:type="spellStart"/>
            <w:r w:rsidRPr="00D46D67">
              <w:rPr>
                <w:rFonts w:ascii="Times New Roman" w:hAnsi="Times New Roman" w:cs="Times New Roman"/>
              </w:rPr>
              <w:t>lambader</w:t>
            </w:r>
            <w:proofErr w:type="spellEnd"/>
            <w:r w:rsidRPr="00D46D67">
              <w:rPr>
                <w:rFonts w:ascii="Times New Roman" w:hAnsi="Times New Roman" w:cs="Times New Roman"/>
              </w:rPr>
              <w:t xml:space="preserve">, yatak başı aplikleri, LED TV ve bavulluk olmalıdır. Oturma kısmında: 3 kişilik sofa, 2 adet koltuk, yan ve orta sehpası, </w:t>
            </w:r>
            <w:proofErr w:type="spellStart"/>
            <w:r w:rsidRPr="00D46D67">
              <w:rPr>
                <w:rFonts w:ascii="Times New Roman" w:hAnsi="Times New Roman" w:cs="Times New Roman"/>
              </w:rPr>
              <w:t>lambader</w:t>
            </w:r>
            <w:proofErr w:type="spellEnd"/>
            <w:r w:rsidRPr="00D46D67">
              <w:rPr>
                <w:rFonts w:ascii="Times New Roman" w:hAnsi="Times New Roman" w:cs="Times New Roman"/>
              </w:rPr>
              <w:t>, 4 kişilik yemek masası, LED TV, telefon, bar, kahve makinası vb. olmalıdır.</w:t>
            </w:r>
          </w:p>
          <w:p w:rsidR="00CA35EC" w:rsidRPr="00D46D67" w:rsidRDefault="00CA35EC" w:rsidP="00CA35E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2271" w:rsidRPr="00F26BFD" w:rsidTr="00A713AE">
        <w:trPr>
          <w:trHeight w:hRule="exact" w:val="985"/>
        </w:trPr>
        <w:tc>
          <w:tcPr>
            <w:tcW w:w="3080" w:type="dxa"/>
            <w:vAlign w:val="center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355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D46D67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lastRenderedPageBreak/>
              <w:t>İdari Birimler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E2271" w:rsidRPr="00D46D67" w:rsidRDefault="009347D2" w:rsidP="002E2271">
            <w:pPr>
              <w:pStyle w:val="GvdeMetni"/>
              <w:spacing w:before="2" w:line="276" w:lineRule="auto"/>
              <w:ind w:righ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Müdür Odası, Müdür Yardımcısı Odası, Muhasebe Odası ve Toplantı Salonuyla birlikte tasarlanacaktır.</w:t>
            </w:r>
          </w:p>
        </w:tc>
      </w:tr>
      <w:tr w:rsidR="002E2271" w:rsidRPr="00F26BFD" w:rsidTr="00371D8D">
        <w:trPr>
          <w:trHeight w:hRule="exact" w:val="579"/>
        </w:trPr>
        <w:tc>
          <w:tcPr>
            <w:tcW w:w="3080" w:type="dxa"/>
            <w:vAlign w:val="center"/>
          </w:tcPr>
          <w:p w:rsidR="002E2271" w:rsidRPr="00D46D67" w:rsidRDefault="002E2271" w:rsidP="002E2271">
            <w:pPr>
              <w:pStyle w:val="Balk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Cs w:val="0"/>
                <w:sz w:val="22"/>
                <w:szCs w:val="22"/>
              </w:rPr>
              <w:t>Restoran Birimi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2271" w:rsidRPr="00F26BFD" w:rsidTr="00256ECE">
        <w:trPr>
          <w:trHeight w:hRule="exact" w:val="580"/>
        </w:trPr>
        <w:tc>
          <w:tcPr>
            <w:tcW w:w="3080" w:type="dxa"/>
            <w:vAlign w:val="center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Yemek Salonu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>300 Kişilik</w:t>
            </w:r>
          </w:p>
        </w:tc>
        <w:tc>
          <w:tcPr>
            <w:tcW w:w="992" w:type="dxa"/>
            <w:vAlign w:val="center"/>
          </w:tcPr>
          <w:p w:rsidR="002E2271" w:rsidRPr="00D46D67" w:rsidRDefault="00224750" w:rsidP="00224750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2E2271" w:rsidRPr="00F26BFD" w:rsidTr="006A5E79">
        <w:trPr>
          <w:trHeight w:hRule="exact" w:val="1558"/>
        </w:trPr>
        <w:tc>
          <w:tcPr>
            <w:tcW w:w="3080" w:type="dxa"/>
            <w:vAlign w:val="center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Mutfak Bölümü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E2271" w:rsidRPr="00D46D67" w:rsidRDefault="002E2271" w:rsidP="00224750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D46D67">
              <w:rPr>
                <w:rFonts w:ascii="Times New Roman" w:hAnsi="Times New Roman" w:cs="Times New Roman"/>
              </w:rPr>
              <w:t xml:space="preserve">Gerekli depolar ve servis girişiyle bağlantılı olmalıdır. Hazırlık, Ana Pişirme, Servis, </w:t>
            </w:r>
            <w:r w:rsidR="00224750" w:rsidRPr="00D46D67">
              <w:rPr>
                <w:rFonts w:ascii="Times New Roman" w:hAnsi="Times New Roman" w:cs="Times New Roman"/>
              </w:rPr>
              <w:t>Bulaşık Yıkama Bölümleri, Soğuk ve Normal Depolar, Personel Odaları ile birlikte tasarlanacaktır.</w:t>
            </w:r>
          </w:p>
        </w:tc>
      </w:tr>
      <w:tr w:rsidR="00224750" w:rsidRPr="00F26BFD" w:rsidTr="008002CD">
        <w:trPr>
          <w:trHeight w:hRule="exact" w:val="1003"/>
        </w:trPr>
        <w:tc>
          <w:tcPr>
            <w:tcW w:w="3080" w:type="dxa"/>
            <w:vAlign w:val="center"/>
          </w:tcPr>
          <w:p w:rsidR="00224750" w:rsidRPr="00D46D67" w:rsidRDefault="009347D2" w:rsidP="002E2271">
            <w:pPr>
              <w:pStyle w:val="Balk1"/>
              <w:spacing w:line="276" w:lineRule="auto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Kapalı </w:t>
            </w:r>
            <w:r w:rsidR="00224750" w:rsidRPr="00D46D67">
              <w:rPr>
                <w:rFonts w:ascii="Times New Roman" w:hAnsi="Times New Roman" w:cs="Times New Roman"/>
                <w:bCs w:val="0"/>
                <w:sz w:val="22"/>
                <w:szCs w:val="22"/>
              </w:rPr>
              <w:t>Ortak Kullanım Alanları</w:t>
            </w:r>
          </w:p>
        </w:tc>
        <w:tc>
          <w:tcPr>
            <w:tcW w:w="1276" w:type="dxa"/>
            <w:vAlign w:val="center"/>
          </w:tcPr>
          <w:p w:rsidR="00224750" w:rsidRPr="00D46D67" w:rsidRDefault="00224750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4750" w:rsidRPr="00D46D67" w:rsidRDefault="00224750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4750" w:rsidRPr="00D46D67" w:rsidRDefault="00224750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46D67">
              <w:rPr>
                <w:rFonts w:ascii="Times New Roman" w:hAnsi="Times New Roman" w:cs="Times New Roman"/>
              </w:rPr>
              <w:t>Spa</w:t>
            </w:r>
            <w:proofErr w:type="spellEnd"/>
            <w:r w:rsidRPr="00D46D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D67">
              <w:rPr>
                <w:rFonts w:ascii="Times New Roman" w:hAnsi="Times New Roman" w:cs="Times New Roman"/>
              </w:rPr>
              <w:t>Fitness</w:t>
            </w:r>
            <w:proofErr w:type="spellEnd"/>
            <w:r w:rsidRPr="00D46D67">
              <w:rPr>
                <w:rFonts w:ascii="Times New Roman" w:hAnsi="Times New Roman" w:cs="Times New Roman"/>
              </w:rPr>
              <w:t xml:space="preserve"> Center, Hamam-Buhar Odası, Duşlar, Masaj Odaları vb. </w:t>
            </w:r>
          </w:p>
        </w:tc>
      </w:tr>
      <w:tr w:rsidR="009347D2" w:rsidRPr="00F26BFD" w:rsidTr="009347D2">
        <w:trPr>
          <w:trHeight w:hRule="exact" w:val="1380"/>
        </w:trPr>
        <w:tc>
          <w:tcPr>
            <w:tcW w:w="3080" w:type="dxa"/>
            <w:vAlign w:val="center"/>
          </w:tcPr>
          <w:p w:rsidR="009347D2" w:rsidRPr="00D46D67" w:rsidRDefault="009347D2" w:rsidP="009347D2">
            <w:pPr>
              <w:pStyle w:val="Balk1"/>
              <w:spacing w:line="276" w:lineRule="auto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Rekreasyon Alanları</w:t>
            </w:r>
          </w:p>
        </w:tc>
        <w:tc>
          <w:tcPr>
            <w:tcW w:w="1276" w:type="dxa"/>
            <w:vAlign w:val="center"/>
          </w:tcPr>
          <w:p w:rsidR="009347D2" w:rsidRPr="00D46D67" w:rsidRDefault="009347D2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7D2" w:rsidRPr="00D46D67" w:rsidRDefault="009347D2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347D2" w:rsidRPr="00D46D67" w:rsidRDefault="009347D2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Bina çevre ile ilişkilendirilmeli, </w:t>
            </w:r>
          </w:p>
          <w:p w:rsidR="009347D2" w:rsidRPr="00D46D67" w:rsidRDefault="009347D2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>Açık, yarı açık, kapalı, mekânlarda tasarıma ve işleve uygun peyzaj düzenlemesi yapılmalıdır.</w:t>
            </w:r>
          </w:p>
        </w:tc>
      </w:tr>
      <w:tr w:rsidR="002E2271" w:rsidRPr="00F26BFD" w:rsidTr="00224750">
        <w:trPr>
          <w:trHeight w:hRule="exact" w:val="1401"/>
        </w:trPr>
        <w:tc>
          <w:tcPr>
            <w:tcW w:w="3080" w:type="dxa"/>
            <w:vAlign w:val="center"/>
          </w:tcPr>
          <w:p w:rsidR="002E2271" w:rsidRPr="00D46D67" w:rsidRDefault="00224750" w:rsidP="002E2271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/>
                <w:sz w:val="22"/>
                <w:szCs w:val="22"/>
              </w:rPr>
              <w:t>Servis Birimi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</w:rPr>
            </w:pPr>
            <w:r w:rsidRPr="00D46D67">
              <w:rPr>
                <w:rFonts w:ascii="Times New Roman" w:hAnsi="Times New Roman" w:cs="Times New Roman"/>
              </w:rPr>
              <w:t>Servis avlusu mutfakla bağlantılı olmalı ve girişte tartı olmalıdır.</w:t>
            </w:r>
            <w:r w:rsidR="00224750" w:rsidRPr="00D46D67">
              <w:rPr>
                <w:rFonts w:ascii="Times New Roman" w:hAnsi="Times New Roman" w:cs="Times New Roman"/>
              </w:rPr>
              <w:t xml:space="preserve"> Satın alma odası, Personel girişi, Çamaşırhane ile birlikte tasarlanacaktır.</w:t>
            </w:r>
          </w:p>
        </w:tc>
      </w:tr>
      <w:tr w:rsidR="002E2271" w:rsidRPr="00F26BFD" w:rsidTr="00224750">
        <w:trPr>
          <w:trHeight w:hRule="exact" w:val="1855"/>
        </w:trPr>
        <w:tc>
          <w:tcPr>
            <w:tcW w:w="3080" w:type="dxa"/>
            <w:vAlign w:val="center"/>
          </w:tcPr>
          <w:p w:rsidR="002E2271" w:rsidRPr="00D46D67" w:rsidRDefault="00224750" w:rsidP="00224750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Teknik Servis Birimi</w:t>
            </w:r>
          </w:p>
        </w:tc>
        <w:tc>
          <w:tcPr>
            <w:tcW w:w="1276" w:type="dxa"/>
            <w:vAlign w:val="center"/>
          </w:tcPr>
          <w:p w:rsidR="002E2271" w:rsidRPr="00D46D67" w:rsidRDefault="002E2271" w:rsidP="002E22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2271" w:rsidRPr="00D46D67" w:rsidRDefault="002E2271" w:rsidP="002E2271">
            <w:pPr>
              <w:pStyle w:val="GvdeMetni"/>
              <w:spacing w:before="2" w:line="276" w:lineRule="auto"/>
              <w:ind w:righ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224750" w:rsidRPr="00D46D67" w:rsidRDefault="00224750" w:rsidP="00224750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sz w:val="22"/>
                <w:szCs w:val="22"/>
              </w:rPr>
              <w:t xml:space="preserve">İklimlendirme, Isıtma Havalandırma ve Soğutma, </w:t>
            </w:r>
            <w:proofErr w:type="spellStart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Jenaratör</w:t>
            </w:r>
            <w:proofErr w:type="spellEnd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 xml:space="preserve"> Odası, </w:t>
            </w:r>
            <w:proofErr w:type="spellStart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>Hidrafor</w:t>
            </w:r>
            <w:proofErr w:type="spellEnd"/>
            <w:r w:rsidRPr="00D46D67">
              <w:rPr>
                <w:rFonts w:ascii="Times New Roman" w:hAnsi="Times New Roman" w:cs="Times New Roman"/>
                <w:sz w:val="22"/>
                <w:szCs w:val="22"/>
              </w:rPr>
              <w:t xml:space="preserve"> Odası, Bakım Onarım Odası, Elektrik Pano Odası ile birlikte tasarlanacaktır.</w:t>
            </w:r>
          </w:p>
          <w:p w:rsidR="002E2271" w:rsidRPr="00D46D67" w:rsidRDefault="002E2271" w:rsidP="00224750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7D2" w:rsidRPr="00F26BFD" w:rsidTr="00371D8D">
        <w:trPr>
          <w:trHeight w:hRule="exact" w:val="989"/>
        </w:trPr>
        <w:tc>
          <w:tcPr>
            <w:tcW w:w="3080" w:type="dxa"/>
            <w:vAlign w:val="center"/>
          </w:tcPr>
          <w:p w:rsidR="009347D2" w:rsidRPr="00D46D67" w:rsidRDefault="009347D2" w:rsidP="009347D2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Tuvaletler</w:t>
            </w:r>
          </w:p>
        </w:tc>
        <w:tc>
          <w:tcPr>
            <w:tcW w:w="1276" w:type="dxa"/>
            <w:vAlign w:val="center"/>
          </w:tcPr>
          <w:p w:rsidR="009347D2" w:rsidRPr="00D46D67" w:rsidRDefault="00256ECE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Kişi Sayısı Hesaplanacaktır</w:t>
            </w:r>
          </w:p>
        </w:tc>
        <w:tc>
          <w:tcPr>
            <w:tcW w:w="992" w:type="dxa"/>
          </w:tcPr>
          <w:p w:rsidR="009347D2" w:rsidRPr="00D46D67" w:rsidRDefault="009347D2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347D2" w:rsidRPr="00D46D67" w:rsidRDefault="009347D2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Her katta kadın, erkek, engelli tuvaleti ve çocuk bakım odası çözülecektir. </w:t>
            </w:r>
          </w:p>
        </w:tc>
      </w:tr>
      <w:tr w:rsidR="009347D2" w:rsidRPr="00F26BFD" w:rsidTr="00031386">
        <w:trPr>
          <w:trHeight w:hRule="exact" w:val="995"/>
        </w:trPr>
        <w:tc>
          <w:tcPr>
            <w:tcW w:w="3080" w:type="dxa"/>
            <w:vAlign w:val="center"/>
          </w:tcPr>
          <w:p w:rsidR="009347D2" w:rsidRPr="00D46D67" w:rsidRDefault="009347D2" w:rsidP="009347D2">
            <w:pPr>
              <w:pStyle w:val="GvdeMetni"/>
              <w:spacing w:before="2" w:line="276" w:lineRule="auto"/>
              <w:ind w:right="79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6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Otopark</w:t>
            </w:r>
          </w:p>
        </w:tc>
        <w:tc>
          <w:tcPr>
            <w:tcW w:w="1276" w:type="dxa"/>
            <w:vAlign w:val="center"/>
          </w:tcPr>
          <w:p w:rsidR="009347D2" w:rsidRPr="00D46D67" w:rsidRDefault="009347D2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rlito" w:hAnsi="Times New Roman" w:cs="Times New Roman"/>
              </w:rPr>
            </w:pPr>
          </w:p>
        </w:tc>
        <w:tc>
          <w:tcPr>
            <w:tcW w:w="992" w:type="dxa"/>
          </w:tcPr>
          <w:p w:rsidR="009347D2" w:rsidRPr="00D46D67" w:rsidRDefault="009347D2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347D2" w:rsidRPr="00D46D67" w:rsidRDefault="008A2DED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>100 araç kapasiteli</w:t>
            </w:r>
            <w:r w:rsidR="009347D2" w:rsidRPr="00D46D67">
              <w:rPr>
                <w:rFonts w:ascii="Times New Roman" w:hAnsi="Times New Roman" w:cs="Times New Roman"/>
              </w:rPr>
              <w:t xml:space="preserve"> açık otopark</w:t>
            </w:r>
          </w:p>
          <w:p w:rsidR="009347D2" w:rsidRPr="00D46D67" w:rsidRDefault="008A2DED" w:rsidP="009347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D46D67">
              <w:rPr>
                <w:rFonts w:ascii="Times New Roman" w:hAnsi="Times New Roman" w:cs="Times New Roman"/>
              </w:rPr>
              <w:t xml:space="preserve">200 araç kapasiteli </w:t>
            </w:r>
            <w:r w:rsidR="009347D2" w:rsidRPr="00D46D67">
              <w:rPr>
                <w:rFonts w:ascii="Times New Roman" w:hAnsi="Times New Roman" w:cs="Times New Roman"/>
              </w:rPr>
              <w:t>kapalı otopark</w:t>
            </w:r>
            <w:r w:rsidR="00031386" w:rsidRPr="00D46D67">
              <w:rPr>
                <w:rFonts w:ascii="Times New Roman" w:hAnsi="Times New Roman" w:cs="Times New Roman"/>
              </w:rPr>
              <w:t xml:space="preserve"> tasarlanacaktır.</w:t>
            </w:r>
          </w:p>
        </w:tc>
      </w:tr>
    </w:tbl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1ADD" w:rsidRPr="00B61ADD" w:rsidRDefault="00B61ADD" w:rsidP="00B61ADD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61ADD">
        <w:rPr>
          <w:rFonts w:ascii="Arial" w:hAnsi="Arial" w:cs="Arial"/>
          <w:sz w:val="20"/>
          <w:szCs w:val="20"/>
        </w:rPr>
        <w:t xml:space="preserve">Otel girişinin üzeri </w:t>
      </w:r>
      <w:proofErr w:type="spellStart"/>
      <w:r w:rsidRPr="00B61ADD">
        <w:rPr>
          <w:rFonts w:ascii="Arial" w:hAnsi="Arial" w:cs="Arial"/>
          <w:sz w:val="20"/>
          <w:szCs w:val="20"/>
        </w:rPr>
        <w:t>kanopi</w:t>
      </w:r>
      <w:proofErr w:type="spellEnd"/>
      <w:r w:rsidRPr="00B61ADD">
        <w:rPr>
          <w:rFonts w:ascii="Arial" w:hAnsi="Arial" w:cs="Arial"/>
          <w:sz w:val="20"/>
          <w:szCs w:val="20"/>
        </w:rPr>
        <w:t xml:space="preserve"> ile yağmur, kar ve güneşe karşı korumalı olacaktır, ayrıca kısa süreli otopark, taksi otoparkı olacaktır.</w:t>
      </w: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Açık, yarı açık ve kapalı mek</w:t>
      </w:r>
      <w:r w:rsidR="009C7BD6" w:rsidRPr="00F26BFD">
        <w:rPr>
          <w:rFonts w:ascii="Arial" w:hAnsi="Arial" w:cs="Arial"/>
          <w:sz w:val="20"/>
          <w:szCs w:val="20"/>
        </w:rPr>
        <w:t>â</w:t>
      </w:r>
      <w:r w:rsidRPr="00F26BFD">
        <w:rPr>
          <w:rFonts w:ascii="Arial" w:hAnsi="Arial" w:cs="Arial"/>
          <w:sz w:val="20"/>
          <w:szCs w:val="20"/>
        </w:rPr>
        <w:t>n ilişkileri kurgulanmalıdır.</w:t>
      </w: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Peyzaj düzenlemeleri yapılmalıdır.</w:t>
      </w:r>
    </w:p>
    <w:p w:rsidR="00C8076B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Servis giriş çıkışları düzenlenmelidir.</w:t>
      </w:r>
    </w:p>
    <w:p w:rsidR="00B3342F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Yangın yönetmeliği göz önünde bulundurulmalıdır.</w:t>
      </w:r>
    </w:p>
    <w:p w:rsidR="00A7449C" w:rsidRDefault="00A7449C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Yaya ve araç </w:t>
      </w:r>
      <w:proofErr w:type="gramStart"/>
      <w:r>
        <w:rPr>
          <w:rFonts w:ascii="Arial" w:hAnsi="Arial" w:cs="Arial"/>
          <w:sz w:val="20"/>
          <w:szCs w:val="20"/>
        </w:rPr>
        <w:t>sirkülasyonu</w:t>
      </w:r>
      <w:proofErr w:type="gramEnd"/>
      <w:r>
        <w:rPr>
          <w:rFonts w:ascii="Arial" w:hAnsi="Arial" w:cs="Arial"/>
          <w:sz w:val="20"/>
          <w:szCs w:val="20"/>
        </w:rPr>
        <w:t xml:space="preserve"> doğru çözülmelidir.</w:t>
      </w:r>
    </w:p>
    <w:p w:rsidR="00831C6D" w:rsidRPr="00831C6D" w:rsidRDefault="00831C6D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C6D">
        <w:rPr>
          <w:rFonts w:ascii="Arial" w:hAnsi="Arial" w:cs="Arial"/>
          <w:sz w:val="20"/>
          <w:szCs w:val="20"/>
        </w:rPr>
        <w:lastRenderedPageBreak/>
        <w:t xml:space="preserve">Gerekli yerlerde farklı yaş gruplarına ilişkin </w:t>
      </w:r>
      <w:proofErr w:type="spellStart"/>
      <w:r w:rsidRPr="00831C6D">
        <w:rPr>
          <w:rFonts w:ascii="Arial" w:hAnsi="Arial" w:cs="Arial"/>
          <w:sz w:val="20"/>
          <w:szCs w:val="20"/>
        </w:rPr>
        <w:t>wc</w:t>
      </w:r>
      <w:proofErr w:type="spellEnd"/>
      <w:r w:rsidRPr="00831C6D">
        <w:rPr>
          <w:rFonts w:ascii="Arial" w:hAnsi="Arial" w:cs="Arial"/>
          <w:sz w:val="20"/>
          <w:szCs w:val="20"/>
        </w:rPr>
        <w:t xml:space="preserve">, lavabo, engelli kullanımı, emzirme odası ve temizlik odası düşünülecektir. </w:t>
      </w:r>
    </w:p>
    <w:p w:rsidR="00371D8D" w:rsidRPr="00D46D67" w:rsidRDefault="00831C6D" w:rsidP="00D46D67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C6D">
        <w:rPr>
          <w:rFonts w:ascii="Arial" w:hAnsi="Arial" w:cs="Arial"/>
          <w:sz w:val="20"/>
          <w:szCs w:val="20"/>
        </w:rPr>
        <w:t>İhtiyaç Programında belirtilen kullanım büyüklüklerinde ±%10 oranında farklılık olabilir.</w:t>
      </w:r>
    </w:p>
    <w:p w:rsidR="00371D8D" w:rsidRPr="00F26BFD" w:rsidRDefault="00371D8D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9E7252" w:rsidRPr="00F26BFD" w:rsidRDefault="009E7252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HAFTALIK PROGRAM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717"/>
        <w:gridCol w:w="2408"/>
        <w:gridCol w:w="1275"/>
        <w:gridCol w:w="4955"/>
      </w:tblGrid>
      <w:tr w:rsidR="00333EC0" w:rsidRPr="00F26BFD" w:rsidTr="00B3342F">
        <w:trPr>
          <w:trHeight w:val="552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10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76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 xml:space="preserve">İçerik </w:t>
            </w:r>
          </w:p>
        </w:tc>
        <w:tc>
          <w:tcPr>
            <w:tcW w:w="4961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Kapsam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06.02</w:t>
            </w:r>
            <w:r w:rsidR="00333EC0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333EC0" w:rsidRPr="00F26BFD" w:rsidRDefault="006459C5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282F27" w:rsidRDefault="00282F27" w:rsidP="00282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2F27">
              <w:rPr>
                <w:rFonts w:ascii="Arial" w:hAnsi="Arial" w:cs="Arial"/>
                <w:sz w:val="20"/>
                <w:szCs w:val="20"/>
              </w:rPr>
              <w:t>Mimari tasarım VI stüdyosunun amaçlarının anlatılması</w:t>
            </w:r>
          </w:p>
          <w:p w:rsidR="00282F27" w:rsidRPr="00282F27" w:rsidRDefault="00282F27" w:rsidP="00282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2F27">
              <w:rPr>
                <w:rFonts w:ascii="Arial" w:hAnsi="Arial" w:cs="Arial"/>
                <w:sz w:val="20"/>
                <w:szCs w:val="20"/>
              </w:rPr>
              <w:t>Proje konusunun ve amacının tanıtılması</w:t>
            </w:r>
          </w:p>
          <w:p w:rsidR="00282F27" w:rsidRPr="00282F27" w:rsidRDefault="00282F27" w:rsidP="00282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2F27">
              <w:rPr>
                <w:rFonts w:ascii="Arial" w:hAnsi="Arial" w:cs="Arial"/>
                <w:sz w:val="20"/>
                <w:szCs w:val="20"/>
              </w:rPr>
              <w:t>İstenilen analiz ve çıkarım çalışmalarının anlatılması</w:t>
            </w:r>
          </w:p>
          <w:p w:rsidR="00333EC0" w:rsidRPr="00282F27" w:rsidRDefault="00333EC0" w:rsidP="00282F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13.02.2020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6459C5" w:rsidRPr="00F26BFD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İnceleme ve analizlerin sunumu. Sorunların ortaya konması</w:t>
            </w:r>
          </w:p>
          <w:p w:rsidR="00333EC0" w:rsidRPr="00282F27" w:rsidRDefault="006459C5" w:rsidP="00B3342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282F27">
              <w:rPr>
                <w:color w:val="auto"/>
                <w:sz w:val="20"/>
                <w:szCs w:val="20"/>
              </w:rPr>
              <w:t>Proje alanında karar verilen konu açılımı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20.02.2020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282F27" w:rsidRDefault="00282F27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2F27">
              <w:rPr>
                <w:rFonts w:ascii="Arial" w:hAnsi="Arial" w:cs="Arial"/>
                <w:sz w:val="20"/>
                <w:szCs w:val="20"/>
              </w:rPr>
              <w:t>Çıkarımlar: Çevre verilerinin değerlendirilmesi.</w:t>
            </w:r>
          </w:p>
          <w:p w:rsidR="00BA0EEC" w:rsidRPr="00F26BFD" w:rsidRDefault="00BA0EEC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Fonksiyon şemasının geliştirilmesi</w:t>
            </w:r>
          </w:p>
          <w:p w:rsidR="00333EC0" w:rsidRPr="00282F27" w:rsidRDefault="00BA0EEC" w:rsidP="00B3342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282F27">
              <w:rPr>
                <w:color w:val="auto"/>
                <w:sz w:val="20"/>
                <w:szCs w:val="20"/>
              </w:rPr>
              <w:t>Planlama (</w:t>
            </w:r>
            <w:proofErr w:type="spellStart"/>
            <w:r w:rsidRPr="00282F27">
              <w:rPr>
                <w:color w:val="auto"/>
                <w:sz w:val="20"/>
                <w:szCs w:val="20"/>
              </w:rPr>
              <w:t>avan</w:t>
            </w:r>
            <w:proofErr w:type="spellEnd"/>
            <w:r w:rsidRPr="00282F27">
              <w:rPr>
                <w:color w:val="auto"/>
                <w:sz w:val="20"/>
                <w:szCs w:val="20"/>
              </w:rPr>
              <w:t xml:space="preserve"> proje ölçeğinde)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27.02.2020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282F27" w:rsidRDefault="00282F27" w:rsidP="00282F27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F27">
              <w:rPr>
                <w:rFonts w:ascii="Arial" w:hAnsi="Arial" w:cs="Arial"/>
                <w:color w:val="000000"/>
                <w:sz w:val="20"/>
                <w:szCs w:val="20"/>
              </w:rPr>
              <w:t xml:space="preserve">Çıkarımlara dayanan Ana yerleşme kararları: Eskiz, maket ve modelleme olarak 1/1000 ve 1/500 kararlarının </w:t>
            </w:r>
          </w:p>
          <w:p w:rsidR="00333EC0" w:rsidRPr="00282F27" w:rsidRDefault="00282F27" w:rsidP="00282F27">
            <w:pPr>
              <w:spacing w:line="240" w:lineRule="atLeast"/>
              <w:rPr>
                <w:rFonts w:cstheme="minorHAnsi"/>
              </w:rPr>
            </w:pPr>
            <w:r w:rsidRPr="00282F27">
              <w:rPr>
                <w:rFonts w:ascii="Arial" w:hAnsi="Arial" w:cs="Arial"/>
                <w:color w:val="000000"/>
                <w:sz w:val="20"/>
                <w:szCs w:val="20"/>
              </w:rPr>
              <w:t>3 boyutta da ifade edilmesi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05.03.2020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BA0EEC" w:rsidRPr="00F26BFD" w:rsidRDefault="00282F27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  <w:r w:rsidRPr="00F26BF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Kat planları, kesitler </w:t>
            </w:r>
          </w:p>
          <w:p w:rsidR="00333EC0" w:rsidRPr="00F26BFD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Görünüşler, maketle çalışma ve perspektifler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12.03.2020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F26BFD" w:rsidRDefault="00282F27" w:rsidP="00282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  <w:r w:rsidRPr="00F26BF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Kat planları, kesitler </w:t>
            </w:r>
          </w:p>
          <w:p w:rsidR="00333EC0" w:rsidRPr="00F26BFD" w:rsidRDefault="00282F27" w:rsidP="00282F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 xml:space="preserve">Görünüşler, maketle çalışma ve perspektifler 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19.03.2020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F26BFD" w:rsidRDefault="00282F27" w:rsidP="00282F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  <w:r w:rsidRPr="00F26BFD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Kat planları, kesitler </w:t>
            </w:r>
          </w:p>
          <w:p w:rsidR="00333EC0" w:rsidRPr="00F26BFD" w:rsidRDefault="00282F27" w:rsidP="00282F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 xml:space="preserve">Görünüşler, maketle çalışma ve perspektifler </w:t>
            </w:r>
          </w:p>
        </w:tc>
      </w:tr>
      <w:tr w:rsidR="00333EC0" w:rsidRPr="00F26BFD" w:rsidTr="00583D59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26.03.2020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F26BFD" w:rsidRDefault="00BA0EEC" w:rsidP="00583D5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26BFD">
              <w:rPr>
                <w:b/>
                <w:sz w:val="20"/>
                <w:szCs w:val="20"/>
              </w:rPr>
              <w:t>ESKİZ SINAVI</w:t>
            </w:r>
          </w:p>
        </w:tc>
      </w:tr>
      <w:tr w:rsidR="00333EC0" w:rsidRPr="00F26BFD" w:rsidTr="00371D8D">
        <w:trPr>
          <w:trHeight w:val="669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02.04.2020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046C03" w:rsidRPr="00F26BFD" w:rsidRDefault="00583D59" w:rsidP="00046C0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Vaziyet Planı 1/500, Kat planları 1/200,  Kesitler-görünüşler 1/200, 1/200 maket</w:t>
            </w:r>
          </w:p>
          <w:p w:rsidR="00333EC0" w:rsidRPr="00F26BFD" w:rsidRDefault="00333EC0" w:rsidP="00046C0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3EC0" w:rsidRPr="00F26BFD" w:rsidTr="00583D59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09.04.2020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F26BFD" w:rsidRDefault="00583D59" w:rsidP="00583D5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1.ARA JÜRİ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16.04.2020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Vaziyet Planı 1/500, Kat Planları 1/200,  2 kesit ve 4 görünüş 1/200, 1/200 maket, sunumlar, perspektifler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23.04.2020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Vaziyet Planı 1/500, Kat Planları 1/200, 2 kesit ve 4 görünüş 1/200, 1/200 maketler, sunumlar, perspektifler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30.04.2020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282F27" w:rsidRPr="00282F27" w:rsidRDefault="00282F27" w:rsidP="00282F27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F27">
              <w:rPr>
                <w:rFonts w:ascii="Arial" w:hAnsi="Arial" w:cs="Arial"/>
                <w:color w:val="000000"/>
                <w:sz w:val="20"/>
                <w:szCs w:val="20"/>
              </w:rPr>
              <w:t xml:space="preserve">1/50 kısmi uygulama projeleri </w:t>
            </w:r>
          </w:p>
          <w:p w:rsidR="00282F27" w:rsidRPr="00282F27" w:rsidRDefault="00282F27" w:rsidP="00282F27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2F27">
              <w:rPr>
                <w:rFonts w:ascii="Arial" w:hAnsi="Arial" w:cs="Arial"/>
                <w:color w:val="000000"/>
                <w:sz w:val="20"/>
                <w:szCs w:val="20"/>
              </w:rPr>
              <w:t xml:space="preserve">1/50 cephe sistem detayı </w:t>
            </w:r>
          </w:p>
          <w:p w:rsidR="00333EC0" w:rsidRPr="00282F27" w:rsidRDefault="00282F27" w:rsidP="00282F27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F27">
              <w:rPr>
                <w:rFonts w:ascii="Arial" w:hAnsi="Arial" w:cs="Arial"/>
                <w:color w:val="000000"/>
                <w:sz w:val="20"/>
                <w:szCs w:val="20"/>
              </w:rPr>
              <w:t>(Plan kesit ve görünüş)</w:t>
            </w:r>
          </w:p>
        </w:tc>
      </w:tr>
      <w:tr w:rsidR="00333EC0" w:rsidRPr="00F26BFD" w:rsidTr="00371D8D">
        <w:trPr>
          <w:trHeight w:val="567"/>
        </w:trPr>
        <w:tc>
          <w:tcPr>
            <w:tcW w:w="708" w:type="dxa"/>
            <w:vAlign w:val="center"/>
          </w:tcPr>
          <w:p w:rsidR="00333EC0" w:rsidRPr="00F26BFD" w:rsidRDefault="00333EC0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333EC0" w:rsidRPr="00F26BFD" w:rsidRDefault="00D7796E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07.05.2020</w:t>
            </w:r>
          </w:p>
        </w:tc>
        <w:tc>
          <w:tcPr>
            <w:tcW w:w="1276" w:type="dxa"/>
            <w:vAlign w:val="center"/>
          </w:tcPr>
          <w:p w:rsidR="00333EC0" w:rsidRPr="00F26BFD" w:rsidRDefault="00BA0EEC" w:rsidP="00371D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F26BFD" w:rsidRDefault="00BA0EEC" w:rsidP="00282F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Teslime hazırlık</w:t>
            </w:r>
          </w:p>
        </w:tc>
      </w:tr>
    </w:tbl>
    <w:p w:rsidR="00333EC0" w:rsidRPr="00F26BFD" w:rsidRDefault="00333EC0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333EC0" w:rsidRPr="00F26BFD" w:rsidRDefault="00333EC0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C0" w:rsidRDefault="00333EC0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371D8D" w:rsidRPr="00F26BFD" w:rsidRDefault="00371D8D" w:rsidP="009E7252">
      <w:pPr>
        <w:pStyle w:val="Default"/>
        <w:jc w:val="center"/>
        <w:rPr>
          <w:b/>
          <w:sz w:val="20"/>
          <w:szCs w:val="20"/>
        </w:rPr>
      </w:pPr>
    </w:p>
    <w:p w:rsidR="009E7252" w:rsidRPr="00F26BFD" w:rsidRDefault="009E7252" w:rsidP="009E7252">
      <w:pPr>
        <w:pStyle w:val="Default"/>
        <w:rPr>
          <w:sz w:val="20"/>
          <w:szCs w:val="20"/>
        </w:rPr>
      </w:pPr>
    </w:p>
    <w:p w:rsidR="009E7252" w:rsidRDefault="00D06BFB" w:rsidP="009E72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 </w:t>
      </w:r>
      <w:r w:rsidRPr="00F26BFD">
        <w:rPr>
          <w:b/>
          <w:bCs/>
          <w:sz w:val="20"/>
          <w:szCs w:val="20"/>
        </w:rPr>
        <w:t>DEĞERLENDİRME ÖLÇÜTLERİ</w:t>
      </w:r>
    </w:p>
    <w:p w:rsidR="00D06BFB" w:rsidRPr="00F26BFD" w:rsidRDefault="00D06BFB" w:rsidP="009E7252">
      <w:pPr>
        <w:pStyle w:val="Default"/>
        <w:rPr>
          <w:sz w:val="20"/>
          <w:szCs w:val="20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8"/>
        <w:gridCol w:w="1984"/>
        <w:gridCol w:w="53"/>
        <w:gridCol w:w="2065"/>
        <w:gridCol w:w="9"/>
        <w:gridCol w:w="2126"/>
        <w:gridCol w:w="992"/>
      </w:tblGrid>
      <w:tr w:rsidR="009E7252" w:rsidRPr="00F26BFD" w:rsidTr="00D06BFB">
        <w:trPr>
          <w:trHeight w:val="327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9E7252" w:rsidRPr="00F26BFD" w:rsidTr="00D06BFB">
        <w:trPr>
          <w:trHeight w:val="432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9E7252" w:rsidRPr="00F26BFD" w:rsidTr="00D06BFB">
        <w:trPr>
          <w:trHeight w:val="1764"/>
        </w:trPr>
        <w:tc>
          <w:tcPr>
            <w:tcW w:w="2127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proofErr w:type="spellStart"/>
            <w:r w:rsidRPr="00F26BFD">
              <w:rPr>
                <w:sz w:val="16"/>
                <w:szCs w:val="16"/>
              </w:rPr>
              <w:t>Anafikir</w:t>
            </w:r>
            <w:proofErr w:type="spellEnd"/>
            <w:r w:rsidRPr="00F26BFD"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</w:t>
            </w:r>
            <w:proofErr w:type="gramStart"/>
            <w:r w:rsidRPr="00F26BFD">
              <w:rPr>
                <w:sz w:val="16"/>
                <w:szCs w:val="16"/>
              </w:rPr>
              <w:t>konstrüksiyon</w:t>
            </w:r>
            <w:proofErr w:type="gramEnd"/>
            <w:r w:rsidRPr="00F26BFD"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7252" w:rsidRDefault="009E7252" w:rsidP="009E7252">
      <w:pPr>
        <w:rPr>
          <w:rFonts w:ascii="Arial" w:hAnsi="Arial" w:cs="Arial"/>
          <w:sz w:val="20"/>
          <w:szCs w:val="20"/>
        </w:rPr>
      </w:pPr>
    </w:p>
    <w:p w:rsidR="00282F27" w:rsidRPr="00F26BFD" w:rsidRDefault="00282F27" w:rsidP="009E725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82"/>
        <w:gridCol w:w="3080"/>
      </w:tblGrid>
      <w:tr w:rsidR="009C51A5" w:rsidRPr="00F26BFD" w:rsidTr="00D06BFB">
        <w:trPr>
          <w:trHeight w:val="457"/>
        </w:trPr>
        <w:tc>
          <w:tcPr>
            <w:tcW w:w="3119" w:type="dxa"/>
          </w:tcPr>
          <w:p w:rsidR="009C51A5" w:rsidRPr="00F26BFD" w:rsidRDefault="00282F27" w:rsidP="009E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Murat ULUĞ</w:t>
            </w:r>
          </w:p>
        </w:tc>
        <w:tc>
          <w:tcPr>
            <w:tcW w:w="3182" w:type="dxa"/>
          </w:tcPr>
          <w:p w:rsidR="009C51A5" w:rsidRPr="00F26BFD" w:rsidRDefault="00282F27" w:rsidP="009E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Mimar Hakan MARAŞ</w:t>
            </w:r>
          </w:p>
        </w:tc>
        <w:tc>
          <w:tcPr>
            <w:tcW w:w="3080" w:type="dxa"/>
          </w:tcPr>
          <w:p w:rsidR="009C51A5" w:rsidRPr="00F26BFD" w:rsidRDefault="00282F27" w:rsidP="009E7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Arş. Gör. İrem USLU</w:t>
            </w:r>
          </w:p>
        </w:tc>
      </w:tr>
      <w:tr w:rsidR="009C51A5" w:rsidRPr="002307A8" w:rsidTr="00D06BFB">
        <w:trPr>
          <w:trHeight w:val="457"/>
        </w:trPr>
        <w:tc>
          <w:tcPr>
            <w:tcW w:w="3119" w:type="dxa"/>
          </w:tcPr>
          <w:p w:rsidR="009C51A5" w:rsidRPr="00F26BFD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2" w:type="dxa"/>
          </w:tcPr>
          <w:p w:rsidR="009C51A5" w:rsidRPr="00F26BFD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</w:tcPr>
          <w:p w:rsidR="009C51A5" w:rsidRPr="002307A8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0C0" w:rsidRPr="002307A8" w:rsidRDefault="00583D59" w:rsidP="009E7252">
      <w:pPr>
        <w:rPr>
          <w:rFonts w:ascii="Arial" w:hAnsi="Arial" w:cs="Arial"/>
          <w:sz w:val="20"/>
          <w:szCs w:val="20"/>
        </w:rPr>
      </w:pPr>
    </w:p>
    <w:sectPr w:rsidR="007E00C0" w:rsidRPr="0023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800"/>
    <w:multiLevelType w:val="multilevel"/>
    <w:tmpl w:val="440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66412"/>
    <w:multiLevelType w:val="hybridMultilevel"/>
    <w:tmpl w:val="A3709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638"/>
    <w:multiLevelType w:val="hybridMultilevel"/>
    <w:tmpl w:val="857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C3E"/>
    <w:multiLevelType w:val="hybridMultilevel"/>
    <w:tmpl w:val="CBCE25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2"/>
    <w:rsid w:val="00031386"/>
    <w:rsid w:val="0003615F"/>
    <w:rsid w:val="00046C03"/>
    <w:rsid w:val="0017172F"/>
    <w:rsid w:val="0017338B"/>
    <w:rsid w:val="001A2544"/>
    <w:rsid w:val="001E30C4"/>
    <w:rsid w:val="00224750"/>
    <w:rsid w:val="002307A8"/>
    <w:rsid w:val="00230F9F"/>
    <w:rsid w:val="00256ECE"/>
    <w:rsid w:val="00282F27"/>
    <w:rsid w:val="002D2F7A"/>
    <w:rsid w:val="002E2271"/>
    <w:rsid w:val="00304D9B"/>
    <w:rsid w:val="00333EC0"/>
    <w:rsid w:val="0035076B"/>
    <w:rsid w:val="00353B03"/>
    <w:rsid w:val="00371D8D"/>
    <w:rsid w:val="0037545C"/>
    <w:rsid w:val="003926A0"/>
    <w:rsid w:val="004A319F"/>
    <w:rsid w:val="004B3BB4"/>
    <w:rsid w:val="00567476"/>
    <w:rsid w:val="00583D59"/>
    <w:rsid w:val="00642CC2"/>
    <w:rsid w:val="006459C5"/>
    <w:rsid w:val="006A5E79"/>
    <w:rsid w:val="00770302"/>
    <w:rsid w:val="007724F1"/>
    <w:rsid w:val="007E3458"/>
    <w:rsid w:val="007E445E"/>
    <w:rsid w:val="008002CD"/>
    <w:rsid w:val="00806B2A"/>
    <w:rsid w:val="00831C6D"/>
    <w:rsid w:val="00840FDA"/>
    <w:rsid w:val="008A2DED"/>
    <w:rsid w:val="008B24FF"/>
    <w:rsid w:val="008D79AD"/>
    <w:rsid w:val="009347D2"/>
    <w:rsid w:val="00960F94"/>
    <w:rsid w:val="009C51A5"/>
    <w:rsid w:val="009C7BD6"/>
    <w:rsid w:val="009E7252"/>
    <w:rsid w:val="00A070C2"/>
    <w:rsid w:val="00A4287E"/>
    <w:rsid w:val="00A45224"/>
    <w:rsid w:val="00A7449C"/>
    <w:rsid w:val="00A86B7C"/>
    <w:rsid w:val="00AB08A7"/>
    <w:rsid w:val="00AE1095"/>
    <w:rsid w:val="00B3342F"/>
    <w:rsid w:val="00B61ADD"/>
    <w:rsid w:val="00BA0EEC"/>
    <w:rsid w:val="00BB7993"/>
    <w:rsid w:val="00BE4A48"/>
    <w:rsid w:val="00BF71D5"/>
    <w:rsid w:val="00C37AAF"/>
    <w:rsid w:val="00C7077D"/>
    <w:rsid w:val="00C8076B"/>
    <w:rsid w:val="00CA35EC"/>
    <w:rsid w:val="00CE50BC"/>
    <w:rsid w:val="00D06BFB"/>
    <w:rsid w:val="00D46D67"/>
    <w:rsid w:val="00D7796E"/>
    <w:rsid w:val="00D82EE6"/>
    <w:rsid w:val="00D83C90"/>
    <w:rsid w:val="00E560FA"/>
    <w:rsid w:val="00E83E0A"/>
    <w:rsid w:val="00F00F4C"/>
    <w:rsid w:val="00F03820"/>
    <w:rsid w:val="00F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96F8-C63A-4187-BAC9-50CE91F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D2F7A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33EC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33EC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334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4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4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4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4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2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06BFB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B61A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ADD"/>
    <w:rPr>
      <w:rFonts w:ascii="Carlito" w:eastAsia="Carlito" w:hAnsi="Carlito" w:cs="Carlito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1"/>
    <w:rsid w:val="002D2F7A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Ntdb9X_gomSjWp1REhwt8uqGsdOtl5XVofd8Jp756IJHgaNx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Irem USLU</cp:lastModifiedBy>
  <cp:revision>27</cp:revision>
  <cp:lastPrinted>2020-02-05T08:03:00Z</cp:lastPrinted>
  <dcterms:created xsi:type="dcterms:W3CDTF">2020-01-30T09:42:00Z</dcterms:created>
  <dcterms:modified xsi:type="dcterms:W3CDTF">2020-03-03T09:36:00Z</dcterms:modified>
</cp:coreProperties>
</file>